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8"/>
      </w:tblGrid>
      <w:tr w:rsidR="00516FDF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516FDF" w:rsidRDefault="00440A4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516FDF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</w:tr>
      <w:tr w:rsidR="00516FDF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516FD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516FDF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01.01.2024</w:t>
            </w:r>
          </w:p>
        </w:tc>
      </w:tr>
      <w:tr w:rsidR="00516FDF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</w:tr>
      <w:tr w:rsidR="00516FD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0"/>
              </w:rPr>
            </w:pPr>
          </w:p>
        </w:tc>
      </w:tr>
      <w:tr w:rsidR="00516FD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0"/>
              </w:rPr>
            </w:pPr>
          </w:p>
        </w:tc>
      </w:tr>
      <w:tr w:rsidR="00516FD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0"/>
              </w:rPr>
            </w:pPr>
          </w:p>
        </w:tc>
      </w:tr>
      <w:tr w:rsidR="00516FD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0"/>
              </w:rPr>
            </w:pPr>
          </w:p>
        </w:tc>
      </w:tr>
      <w:tr w:rsidR="00516FDF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Комитет по развитию городского хозяйства администрации города Мурманска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958</w:t>
            </w:r>
          </w:p>
        </w:tc>
      </w:tr>
      <w:tr w:rsidR="00516FDF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</w:tr>
      <w:tr w:rsidR="00516FDF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городских округов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516FDF" w:rsidRDefault="00440A46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47701000</w:t>
            </w:r>
          </w:p>
        </w:tc>
      </w:tr>
      <w:tr w:rsidR="00516FDF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</w:tr>
      <w:tr w:rsidR="00516FD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516FD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</w:tr>
      <w:tr w:rsidR="00516FDF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</w:tr>
    </w:tbl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1 Организационная структура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комитета по развитию городского хозяйства администрации города Мурманска: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Положению о Комитете по развитию городского хозяйства администрации города Мурманска (далее – Комитет), утвержденного постановлением администрации города Мурманска от 14.05.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2005 № 427 (с изменениями от 17.05.2005 № 431, от 28.12.2006 № 2018, от 26.03.2007 № 368, от 16.11.2009 № 1238, от 13.07.2010 № 1204, от 05.07.2011 № 108-р, от 23.01.2012 № 04-р, от 20.12.2012 № 116-р, от 06.02.2015 № 06-р, от 26.10.2015 № 74-р, от 15.02.2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016 № 10-р, от 12.07.2016 № 51-р, от 03.05.2017 № 32-р, от 13.03.2018 № 15-р, от 04.09.2018 № 52-р, от 26.11.2018 № 74-р, от 17.06.2019 № 34-р, от 26.02.2020 № 15-р, от 22.11.2021 № 52-р, от 11.10.2022 № 3033) Комитет является муниципальным казенным учрежд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ением, созданным для осуществления управленческих функций, входит в структуру администрации города Мурманска.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является юридическим лицом, имеет в оперативном управлении имущество, переданное на праве оперативного управления по договору с комитетом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имущественных отношений города Мурманска и приобретенного за счет средств бюджета муниципального образования город Мурманск.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Комитет содержится за счет средств бюджета муниципального образования город Мурманск, осуществляет полномочия главного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распорядителя бюджетных средств в отношении подведомственных ему учреждений.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 целями и задачами Комитета являются: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Организация дорожной деятельности в отношении автомобильных дорог общего пользования местного значения в границах города Мурманска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обеспечение безопасности дорожного движения на них.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Обеспечение мероприятий по организации регулярных перевозок пассажиров и багажа автомобильным транспортом и городским наземным электрическим транспортом в границах города Мурманска.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Организация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 дорожного движения на автомобильных дорогах общего пользования местного значения в границах города Мурманска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Организация мероприятий по охране окружающей среды в границах города Мурманска, в том числе по сохранению полезных функций городских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есов, лесов особо охраняемых природных территорий, расположенных в границах город Мурманска, а также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оронению твердых коммунальных отходов.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Организация содержания мест захоронения.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имеет следующие лицевые счета, открытые в ОТДЕЛЕНИИ МУРМАНСК//УФК по Мурманской области, г. Мурманск: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распорядителя бюджетных средств - № 03493010340;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главного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аспорядителя бюджетных средств - № 01493010340;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администратора доходов бюджета - № 04493010340;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 учету средств, поступающих во временное распоряжение бюджетных организаций - № 05493010340.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Штатная численность комитета - 46 единиц. 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ты деятельности комитета по развитию городского хозяйства администрации города Мурманска: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размещения муниципальных заказов на поставку товаров, выполнение работ, оказание услуг в рамках конкурентных процедур за 2023 год экономия денежных сред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 не сложилась.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2023 год комитетом заключены муниципальные контракты в количестве 64 ед.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осуществляет функции и полномочия учредителя следующих муниципальных бюджетных учреждений: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ММБУ «Центр организации дорожного движения» согласно постан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овлению администрации города Мурманска № 335 от 02.03.2011;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ММБУ «Управление дорожного хозяйства» согласно постановлению администрации города Мурманска № 742 от 13.05.2010;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ММБУ «Экосистема» согласно распоряжению администрации города Мурманска № 104-р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04.07.2011;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ММБУ «Дирекция городского кладбища» создано в соответствии с постановлением администрации города Мурманска от 31.12.2009 № 1518. До 01.01.2012 являлось получателем бюджетных средств. С 01.01.2012 в соответствии с Федеральным законом от 08.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05.2010 № 83-ФЗ финансовое обеспечение основной деятельности учреждения осуществляется в виде субсидии на выполнение муниципального задания из бюджета муниципального образования город Мурманск.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ММБУ «Центр содержания животных»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создано путем реорганизаци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 в форме преобразования Мурманского муниципального унитарного предприятия «Центр временного содержания животных» согласно постановлению администрации города Мурманска от 16.12.2019 № 4233. Дата внесения записи в ЕГРЮЛ – 31.03.2020.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ММБУ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МурманскГорСвет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создано согласно постановлению администрации города Мурманска от 26.10.2021 № 2735. Дата внесения записи в ЕГРЮЛ – 22.03.2022.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3 Анализ отчета об исполнении бюджета комитетом по развитию городского хозяйства администрации города Мурманска: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Расшиф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ровка отдельных показателей формы 0503164 «Сведения об исполнении бюджета»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разделе 1. «Доходы бюджета» утвержденные бюджетные ассигнования составили 3 545 242 466,39 руб., исполнено 1 586 399 065,91 руб. или 44,75%.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сравнению с утвержденными бюджетны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ассигнованиями по доходам на 2022 год бюджетные назначения по доходам на 2023 года увеличились на 14,24%, исполнение по доходам уменьшилось на 37,77%.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Увеличение бюджетных ассигнований по доходам связано в основном с предоставлением новых межбюджетных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трансфертов в форме субсидии на реализацию инфраструктурного проекта «Культурно-деловой центр «Новый Мурманск» в размере 1 497 796 000,00 руб., в форме иного межбюджетного трансферта на реализацию мероприятий, направленных на выполнение работ по ямочному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емонту дворовых проездов (за счет резервного фонда Правительства Мурманской области), в размере 99 907 784,92 руб.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Исполнение по доходам уменьшилось в связи с выполнением последнего этапа работ по рекультивации городской свалки твердых отходов,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расположенной по адресу: Мурманская область, муниципальное образование город Мурманск, сооружение 1, в рамках федерального проекта «Чистая страна».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Пояснения по исполнению бюджета с кодом «Иные причины», которые не отражены в таблице № 13: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По коду БК 95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 1 13 02994 04 0000 130 утверждены бюджетные ассигнования в размере 2 894 300,00 руб., исполнено – 2 895 729,34 руб., процент исполнения 100,05 %.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поступлений по доходам осуществляется по документально подтвержденной дебиторской задолженности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которая ожидается к поступлению в бюджет муниципального образования город Мурманск в очередном финансовом году (плановом периоде), ожидаемых результатов работы по ее взысканию судебными органами.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Превышение бюджетных ассигнований по доходам образовалось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поступлениями, которые не планировались.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По коду БК 958 1 16 07010 01 0000 140 утверждены бюджетные ассигнования в размере 1 400,00 руб., исполнено – 1 445,51 руб., процент исполнения 103,25 %.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Доходы имеют несистемный характер и прогнозируютс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при наличии фактической дебиторской задолженности, которая по данным бухгалтерского учета ожидается к поступлению в бюджет муниципального образования город Мурманск.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Бюджетные ассигнования по доходам утверждены округленно.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По коду БК 1 17 05040 04 000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0 180 утверждены бюджетные ассигнования в размере 566 000,00 руб., исполнено – 569 173,38 руб., процент исполнения 100,56 %.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уточнении поступлений доходов в бюджет муниципального образования город Мурманск на 2023 год оценка ожидаемого поступления дохо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 связанных с взысканием в судебном порядке восстановительной стоимости уничтоженных зеленых насаждений, осуществлялась на уровне фактических поступлений в доход бюджета по состоянию на 01.09.2023 года.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4 Анализ показателей финансовой отчетности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комитета по развитию городского хозяйства администрации города Мурманска: 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          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Пояснение отдельных показателей по форме 0503121 "Отчет о финансовых результатах деятельности"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2644"/>
        <w:gridCol w:w="5520"/>
      </w:tblGrid>
      <w:tr w:rsidR="00516FDF"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по КОСГУ</w:t>
            </w:r>
          </w:p>
        </w:tc>
        <w:tc>
          <w:tcPr>
            <w:tcW w:w="2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 </w:t>
            </w:r>
          </w:p>
        </w:tc>
        <w:tc>
          <w:tcPr>
            <w:tcW w:w="5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Пояснения</w:t>
            </w:r>
          </w:p>
        </w:tc>
      </w:tr>
      <w:tr w:rsidR="00516FDF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172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- 2 019 538 061,14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участия в государственных (муниципальных учреждениях) имеет отрицательный показатель в связи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корректировкой кадастровой стоимости земельных участков</w:t>
            </w:r>
          </w:p>
        </w:tc>
      </w:tr>
    </w:tbl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 xml:space="preserve">Пояснение отдельных показателей по форме 0503130 «Баланс главного распорядителя, распорядителя,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счету 1 401 50 000 отражены расходы, связанные с выплатой по ежегодному оплачиваем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 отпуску работникам, ушедшим в отпуск в январе.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счету 1 401 60 000 отражен резерв предстоящих расходов на оплату отпусков за фактически отработанное время или компенсацию за неиспользованный отпуск, включая платежи на обязательное социальное страхова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Пояснение отдельных показателей по форме 0503168 «Сведения о движении нефинансовых активов»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2644"/>
        <w:gridCol w:w="5520"/>
      </w:tblGrid>
      <w:tr w:rsidR="00516FDF"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Номер (код) счета бюджетного учета (без КБК)</w:t>
            </w:r>
          </w:p>
        </w:tc>
        <w:tc>
          <w:tcPr>
            <w:tcW w:w="2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Сумма на конец отчетного периода</w:t>
            </w:r>
          </w:p>
        </w:tc>
        <w:tc>
          <w:tcPr>
            <w:tcW w:w="5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Причины образования</w:t>
            </w:r>
          </w:p>
        </w:tc>
      </w:tr>
      <w:tr w:rsidR="00516FDF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1 102 30 000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9 400 000,00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отражена передача исключительных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 на научно-исследовательские работы по разработке комплексной схемы организации дорожного движения на территории муниципального образования город Мурманск</w:t>
            </w:r>
          </w:p>
        </w:tc>
      </w:tr>
      <w:tr w:rsidR="00516FDF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1 103 11 000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77 605 335,10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отражены земельные участки, переданные в постоянное (бессрочное)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пользование распоряжениями Министерства имущественных отношений Мурманской области от 11.02.2020 № 05, от 13.08.2020 № 610, общей кадастровой стоимостью 192 838,30 руб.; земельный участок, переданный в постоянное (бессрочное) пользование постановлением адм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инистрации города Мурманска от 05.04.2021 № 874, кадастровой стоимостью 77 412 496,80 руб.</w:t>
            </w:r>
          </w:p>
        </w:tc>
      </w:tr>
      <w:tr w:rsidR="00516FDF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1 106 11 000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8 238 322,14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отражены капитальные вложения в объект «Строительство сооружений для очистки сточных вод с земельного участка, отведенного под городскую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свалку твердых отходов». В соответствии с Планом мероприятий по снижению количества объектов незавершенного строительства, строительство, реконструкция которых осуществлялись за счет средств бюджета муниципального образования город Мурманск, утвержденного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постановлением администрации города Мурманска от 22.11.2023 № 4075, данный объект подлежит списанию в период 2023 – 2024 годов</w:t>
            </w:r>
          </w:p>
        </w:tc>
      </w:tr>
    </w:tbl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 xml:space="preserve">Пояснения к форме 0503169 «Сведения по дебиторской и кредиторской задолженности» </w:t>
      </w:r>
    </w:p>
    <w:p w:rsidR="00516FDF" w:rsidRDefault="00440A46">
      <w:pPr>
        <w:ind w:firstLine="70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Сведения по дебиторской задолженности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2665"/>
        <w:gridCol w:w="5812"/>
      </w:tblGrid>
      <w:tr w:rsidR="00516FDF"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(код) счета бюджетного учета (без КБК)</w:t>
            </w:r>
          </w:p>
        </w:tc>
        <w:tc>
          <w:tcPr>
            <w:tcW w:w="2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Сумма на конец отчетного периода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Причины образования</w:t>
            </w:r>
          </w:p>
        </w:tc>
      </w:tr>
      <w:tr w:rsidR="00516FDF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1 205 51 000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3 365 369 489,04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Признание доходов будущих периодов от межбюджетных трансфертов на основании Уведомления о предоставлении субсидий, субвенций, иных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межбюджетных трансфертов, имеющих целевое назначение (ф. 0504320)</w:t>
            </w:r>
          </w:p>
        </w:tc>
      </w:tr>
      <w:tr w:rsidR="00516FDF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1 205 53 000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217 498 537,39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Остаток неиспользованных средств субсидии текущего характера на иные цели, расходы по которым не подтверждены отчетами учреждений</w:t>
            </w:r>
          </w:p>
        </w:tc>
      </w:tr>
      <w:tr w:rsidR="00516FDF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1 205 61 000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98 552 191,54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Признание доходов будущих периодов от межбюджетных трансфертов на основании Уведомления о предоставлении субсидий, субвенций, иных межбюджетных трансфертов, имеющих целевое назначение (ф. 0504320)</w:t>
            </w:r>
          </w:p>
        </w:tc>
      </w:tr>
      <w:tr w:rsidR="00516FDF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1 205 63 000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11 052 049,62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Остаток неиспользованных средст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субсидии капитального характера на иные цели, расходы по которым не подтверждены отчетами учреждений</w:t>
            </w:r>
          </w:p>
        </w:tc>
      </w:tr>
      <w:tr w:rsidR="00516FDF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1 206 21 000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30 669,99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Авансовый платеж за услуги связи</w:t>
            </w:r>
          </w:p>
        </w:tc>
      </w:tr>
      <w:tr w:rsidR="00516FDF">
        <w:trPr>
          <w:trHeight w:val="343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1 206 26 000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2 700,00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Авансовый платеж за подписку на периодические издания</w:t>
            </w:r>
          </w:p>
        </w:tc>
      </w:tr>
      <w:tr w:rsidR="00516FDF">
        <w:trPr>
          <w:trHeight w:val="1115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1 209 36 000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54 490,90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Долгосрочная дебиторская задолженность за услуги по отпуску электроэнергии через точки подключения, за услуги по электроснабжению распределительного щита, расположенного у гостиницы «Арктика»</w:t>
            </w:r>
          </w:p>
        </w:tc>
      </w:tr>
      <w:tr w:rsidR="00516FDF">
        <w:trPr>
          <w:trHeight w:val="804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1 209 41 000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2 983 747,42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Начислена неустойка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просрочку исполнения обязательств, предусмотренных муниципальным контрактом</w:t>
            </w:r>
          </w:p>
        </w:tc>
      </w:tr>
      <w:tr w:rsidR="00516FDF">
        <w:trPr>
          <w:trHeight w:val="592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1 209 45 000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3 857,83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Долгосрочная задолженность по начисленным процентам за пользование чужими денежными средствами</w:t>
            </w:r>
          </w:p>
        </w:tc>
      </w:tr>
      <w:tr w:rsidR="00516FDF">
        <w:trPr>
          <w:trHeight w:val="312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1 209 89 000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42 969,71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Стоимость уничтоженных зеленых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насаждений, взысканная по решению судебных органов</w:t>
            </w:r>
          </w:p>
        </w:tc>
      </w:tr>
      <w:tr w:rsidR="00516FDF">
        <w:trPr>
          <w:trHeight w:val="312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3 695 590 703,44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516FDF" w:rsidRDefault="00440A46">
      <w:pPr>
        <w:ind w:firstLine="70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Сведения по кредиторской задолженности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2665"/>
        <w:gridCol w:w="5812"/>
      </w:tblGrid>
      <w:tr w:rsidR="00516FDF"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Номер (код) счета бюджетного учета (без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КБК)</w:t>
            </w:r>
          </w:p>
        </w:tc>
        <w:tc>
          <w:tcPr>
            <w:tcW w:w="2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Сумма на конец отчетного периода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Причины образования</w:t>
            </w:r>
          </w:p>
        </w:tc>
      </w:tr>
      <w:tr w:rsidR="00516FDF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1 401 49 151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3 365 369 489,04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Признание доходов будущих периодов от межбюджетных трансфертов на основании Уведомления о предоставлении субсидий, субвенций, иных межбюджетных трансфертов, имеющих целевое назначение (ф. 0504320)</w:t>
            </w:r>
          </w:p>
        </w:tc>
      </w:tr>
      <w:tr w:rsidR="00516FDF">
        <w:trPr>
          <w:trHeight w:val="1040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1 401 49 161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98 552 191,54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Признание доходов будущих перио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дов капитального характера от межбюджетных трансфертов на основании Уведомления о предоставлении субсидий, субвенций, иных межбюджетных трансфертов, имеющих целевое назначение (ф. 0504320)</w:t>
            </w:r>
          </w:p>
        </w:tc>
      </w:tr>
      <w:tr w:rsidR="00516FDF">
        <w:trPr>
          <w:trHeight w:val="1040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1 401 60 211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11 602 244,85</w:t>
            </w:r>
          </w:p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581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Отражен резерв предстоящих расходов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оплату отпусков за фактически отработанное время или компенсацию за неиспользованный отпуск, включая платежи на обязательное социальное страхование</w:t>
            </w:r>
          </w:p>
        </w:tc>
      </w:tr>
      <w:tr w:rsidR="00516FDF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1 401 60 213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440A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3 503 877,94</w:t>
            </w:r>
          </w:p>
        </w:tc>
        <w:tc>
          <w:tcPr>
            <w:tcW w:w="581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FDF" w:rsidRDefault="00516FDF">
            <w:pPr>
              <w:shd w:val="clear" w:color="auto" w:fill="FFFFFF"/>
              <w:rPr>
                <w:color w:val="000000"/>
                <w:shd w:val="clear" w:color="auto" w:fill="FFFFFF"/>
              </w:rPr>
            </w:pPr>
          </w:p>
        </w:tc>
      </w:tr>
    </w:tbl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Отклонение показателей между графами 7 и 8: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- 1 206 41 000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восстановление кассовых расходов;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- 1 206 81 000 – восстановление кассовых расходов;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показателей между графами 5 и 6: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- 1 302 11 000 – уточнение платежа в части КБК.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показателях по сегментам</w:t>
      </w:r>
    </w:p>
    <w:p w:rsidR="00516FDF" w:rsidRDefault="00440A4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  Сегмент бюджетные единицы.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по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азвитию городского хозяйства администрации города Мурманска является муниципальным казенным учреждением, входит в структуру администрации города Мурманска, подведомственных казенных учреждений не имеет, относится к сегменту бюджетные единицы. 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Иные получат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ели средств местного бюджета отсутствуют. 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по сегменту бюджетные единицы отражены в формах бюджетной отчетности и в текстовой части данной Пояснительной записки.</w:t>
      </w:r>
    </w:p>
    <w:p w:rsidR="00516FDF" w:rsidRDefault="00440A4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Признанные доходы и расходы в разрезе КОСГУ за 2023 год отражены в Отчете о финансовых результатах деятельности ф.0503121. 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величина признанных доходов составляет – 874 744 239,84 руб. 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величина признанных расходов составляет 3 340 856 049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,27 руб.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2022 году: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величина признанных доходов составляет 2 919 006 112,71 руб. 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величина признанных расходов составляет 4 945 157 434,70 руб.</w:t>
      </w:r>
    </w:p>
    <w:p w:rsidR="00516FDF" w:rsidRDefault="00440A4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Общая величина нефинансовых и финансовых активов отражена в Балансе ф.0503130 и по состоянию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31.12.2023 составляет 12 254 139 376,75 руб., по состоянию на 31.12.2022 составляла 16 566 656 597,67 руб.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недвижимому имуществу, непроизведенным активам представлены в Сведениях о движении нефинансовых активов ф. 0503168.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нежным средствам учреждения представлены в ф. 0503178 (средства во временном распоряжении) и в Балансе ф.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0503130 .</w:t>
      </w:r>
      <w:proofErr w:type="gramEnd"/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финансовым вложениям представлены в Сведениях о финансовых вложениях ф. 0503171.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Показатели по расчетам по доходам представлены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Сведениях о дебиторской и кредиторской задолженности ф. 0503169.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Кредиты, займы не предоставлялись.</w:t>
      </w:r>
    </w:p>
    <w:p w:rsidR="00516FDF" w:rsidRDefault="00440A4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 Общая величина обязательств отражена в Балансе ф. 0503130 и по состоянию на 31.12.2023 составляет 3 479 027 803,37 руб., на 31.12.2022 составляла 5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386 006 630,89 руб.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расчетам с кредиторами по долговым обязательствам отсутствуют.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прочим расчетам с кредиторами и расчетам по платежам в бюджеты представлены в Сведениях о дебиторской и кредиторской задолженности ф.0503169.</w:t>
      </w:r>
    </w:p>
    <w:p w:rsidR="00516FDF" w:rsidRDefault="00440A4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Сегмент бюджетные (автономные) учреждения.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01.01.2024 в подведомственности комитета по развитию городского хозяйства администрации города Мурманска находятся 6 бюджетных учреждений. 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по сегменту бюджетные (автономные) учреждения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ражены в формах сводной бухгалтерской отчетности и в текстовой части Пояснительной записки к балансу учреждения ф.0503760.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16FDF" w:rsidRDefault="00440A4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 Признанные доходы и расходы в разрезе кодов аналитики за 2023 год отражены в Отчете о финансовых результатах деятельности учре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      ф. 0503721.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величина признанных доходов составляет 3 428 099 279,31 руб., 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величина признанных расходов составляет 3 530 247 206,73 руб.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2022 году: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величина признанных доходов составляла 4 719 989 691,86 руб. 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величина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признанных расходов составляла 5 265 904 520,73 руб.</w:t>
      </w:r>
    </w:p>
    <w:p w:rsidR="00516FDF" w:rsidRDefault="00440A4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Общая величина нефинансовых и финансовых активов отражена в Балансе государственного (муниципального) учреждения ф.0503730 и по состоянию на 31.12.2023 составляет 4 964 590 536,85 руб., на 31.12.20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 составляла 7 106 423 682,06 руб.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Показатели по недвижимому имуществу, непроизведенным активам представлены в Сведениях о движении нефинансовых активов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  ф.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0503768 в разрезе кодов финансового обеспечения (далее – КФО).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денежным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редствам учреждения представлены в Сведениях об остатках денежных средств учреждений ф. 0503779 в разрезе КФО.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финансовым вложениям представлены в Сведениях о финансовых вложениях учреждения ф. 0503771.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Показатели по расчетам по доходам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представлены в Сведениях о дебиторской и кредиторской задолженности ф. 0503769 в разрезе КФО.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предоставленным кредитам, займам отсутствуют.</w:t>
      </w:r>
    </w:p>
    <w:p w:rsidR="00516FDF" w:rsidRDefault="00440A4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Общая величина обязательств отражена Балансе государственного (муниципального) учреждения ф.05037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 и по состоянию на 31.12.2023 составляет 9 039 538 280,97 руб., на 31.12.2022 составляла 11 073 707 194,76 руб.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расчетам с кредиторами по долговым обязательствам отсутствуют.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прочим расчетам с кредиторами и расчетам по платежа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 бюджеты представлены в Сведениях о дебиторской и кредиторской задолженности ф.0503769 в разрезе КФО.</w:t>
      </w:r>
    </w:p>
    <w:p w:rsidR="00516FDF" w:rsidRDefault="00440A4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Сегмент внебюджетные муниципальные единицы в части муниципальных унитарных предприятий.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по развитию городского хозяйства администрации город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Мурманска не имеет в подведомственности муниципальных унитарных предприятий. 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5 Прочие вопросы деятельности комитета по развитию городского хозяйства администрации города Мурманска: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Пояснение к форме 0503296 «Сведения об исполнении решений по дене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жным обязательствам»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 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состоянию на 01.01.2024 принято денежных обязательств по исполнению судебных решений на сумму 212 513,59 руб., исполнено денежных обязательств в размере 212 513,59 руб., в том числе: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Панахов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Фархад Ислам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исполнительный лист ФС 025300798 от 22.08.2023, решение Октябрьского районного суда города Мурманска по делу № 2а-1750/2023, возмещение расходов по оплате государственной пошлины в размере 300,00 руб.;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Панахов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Фархад Ислам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исполнительны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лист ФС 025300799 от 22.08.2023, решение Октябрьского районного суда города Мурманска по делу № 2а-1750/2023, компенсация морального вреда в размере 10 000,00 руб.;</w:t>
      </w:r>
    </w:p>
    <w:p w:rsidR="00516FDF" w:rsidRDefault="00440A4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Азаров Владислав Валентинович, исполнительный лист ФС 041370216 от 31.08.2023, решение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Первомайского районного суда города Мурманска по делу № 2-101/2023, возмещение ущерба в размере 55 353,00 руб., судебные расходы в размере 36 860,59 руб.;</w:t>
      </w:r>
    </w:p>
    <w:p w:rsidR="00516FDF" w:rsidRDefault="00440A4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Панахов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Фархад Ислам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исполнительный лист ФС 025302112 от 23.11.2023, решение Октябрьского рай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онного суда города Мурманска по делу № 2а-1750/2023, судебные расходы в размере 110 000,00 руб.</w:t>
      </w:r>
    </w:p>
    <w:p w:rsidR="00516FDF" w:rsidRDefault="00440A46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По коду БК 958 0409 9940099990 853 предусмотрены бюджетные ассигнования на оплату административных штрафов за несоблюдение требований по обеспечению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езопасности дорожного движения по статье 12.34 Кодекса РФ об административных правонарушениях. Наложение административного штрафа осуществляется на основании постановления Мирового судьи судебного участка административных округов города Мурманска.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учет комитета осуществляется в соответствии с приказами Министерства финансов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от 06.12.2010 № 162н «Об утверждении Плана счетов бюджетного учета 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нструкции по его применению», федеральными стандартами бухгалтерского учета для организаций государственного сектора.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Бюджетный учет комитета осуществляется в соответствии с приказами Министерства финансов Российской Федерации от 01.12.2010 № 157н «Об утв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иципальных) учреждений и Инструкции по его применению», от 06.12.2010 № 162н «Об утверждении Плана счетов бюджетного учета и Инструкции по его применению»,  федеральными стандартами бухгалтерского учета для организаций государственного сектора.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Бухгалтерск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учет осуществляется с использованием компьютерной техники и программного продукта «1С: Предприятие 8.3» (конфигурация – Бухгалтерия государственного учреждения, редакция 2.0)».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с Управлением Федерального казначейства по Мурманской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посредством электронного документооборота с помощью программного комплекса «СУФД».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передача налоговой и статистической отчетности осуществляется с использованием программного комплекса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++». 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Инвентаризация имущества и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язательств проводится в соответствии с положениями приказа Министерства финансов Российской Федерации от 13.06.1995 № 49 «Об утверждении Методических указаний по инвентаризации имущества и финансовых обязательств».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Инвентаризация основных средств и материа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льных запасов, предназначенных для обеспечения деятельности Комитета, финансовых обязательств проводится ежегодно перед составлением годовой бюджетной отчетности и при смене материально ответственных лиц. Расхождений с данными бухгалтерского учета за 2023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 не выявлено.</w:t>
      </w:r>
    </w:p>
    <w:p w:rsidR="00516FDF" w:rsidRDefault="00440A46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Инвентаризация денежных средств, бланков строгой отчетности проводится один раз в месяц и при смене материально ответственных лиц. Расхождений с данными бухгалтерского учета за 2023 год не выявлено.</w:t>
      </w:r>
    </w:p>
    <w:p w:rsidR="00516FDF" w:rsidRDefault="00440A46">
      <w:r>
        <w:t> </w:t>
      </w:r>
      <w:r>
        <w:rPr>
          <w:color w:val="000000"/>
        </w:rPr>
        <w:t>%FILE_CONTENT%</w:t>
      </w:r>
    </w:p>
    <w:p w:rsidR="00516FDF" w:rsidRDefault="00440A4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4716"/>
        <w:gridCol w:w="1462"/>
      </w:tblGrid>
      <w:tr w:rsidR="00516FDF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Нерубащенко Никита Юрьевич</w:t>
            </w:r>
          </w:p>
        </w:tc>
      </w:tr>
      <w:tr w:rsidR="00516FDF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16FDF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16FD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Антонова Екатерина Алексеевна</w:t>
            </w:r>
          </w:p>
        </w:tc>
      </w:tr>
      <w:tr w:rsidR="00516FD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16FDF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516FDF">
            <w:pPr>
              <w:rPr>
                <w:sz w:val="24"/>
              </w:rPr>
            </w:pPr>
          </w:p>
        </w:tc>
      </w:tr>
      <w:tr w:rsidR="00516FD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Антонова Е.А.</w:t>
            </w:r>
          </w:p>
        </w:tc>
      </w:tr>
      <w:tr w:rsidR="00516FD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16FDF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440A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"____" 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516FDF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FDF" w:rsidRDefault="00516FDF">
            <w:pPr>
              <w:rPr>
                <w:sz w:val="24"/>
              </w:rPr>
            </w:pPr>
          </w:p>
        </w:tc>
      </w:tr>
    </w:tbl>
    <w:p w:rsidR="00516FDF" w:rsidRDefault="00440A46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09.02.2024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Главный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бухгалтер(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Антонова Екатерина Алексеевна, Сертификат: 00A41182E3C0882CCCC9ADE33A1D2551B8, Действителен: с 19.04.2023 по 12.07.2024), Руководитель(Нерубаще</w:t>
      </w:r>
      <w:r>
        <w:rPr>
          <w:rFonts w:ascii="Times New Roman" w:eastAsia="Times New Roman" w:hAnsi="Times New Roman" w:cs="Times New Roman"/>
          <w:sz w:val="24"/>
          <w:szCs w:val="24"/>
        </w:rPr>
        <w:t>нко Никита Юрьевич, Сертификат: 7EF26237C4FA9406A6AC0442A7BB894F, Действителен: с 21.09.2023 по 14.12.2024), Руководитель финансово-экономической службы(Антонова Екатерина Алексеевна, Сертификат: 00A41182E3C0882CCCC9ADE33A1D2551B8, Действителен: с 19.04.20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23 по 12.07.2024)        </w:t>
      </w:r>
    </w:p>
    <w:sectPr w:rsidR="00516FDF" w:rsidSect="00440A46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FDF"/>
    <w:rsid w:val="00440A46"/>
    <w:rsid w:val="0051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F3492-FDAF-4EBB-B9D9-2A73A933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3413</Words>
  <Characters>19455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svod-app01/www-data</dc:creator>
  <cp:lastModifiedBy>Антонова Екатерина Алексеевна</cp:lastModifiedBy>
  <cp:revision>2</cp:revision>
  <dcterms:created xsi:type="dcterms:W3CDTF">2024-06-19T11:32:00Z</dcterms:created>
  <dcterms:modified xsi:type="dcterms:W3CDTF">2024-06-19T11:32:00Z</dcterms:modified>
</cp:coreProperties>
</file>